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D96" w14:textId="77777777" w:rsidR="00D706D9" w:rsidRPr="00D706D9" w:rsidRDefault="00D706D9" w:rsidP="008D64D7">
      <w:pPr>
        <w:shd w:val="clear" w:color="auto" w:fill="CCCCCC"/>
        <w:tabs>
          <w:tab w:val="left" w:pos="7230"/>
        </w:tabs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spacing w:val="-1"/>
          <w:kern w:val="36"/>
          <w:sz w:val="48"/>
          <w:szCs w:val="48"/>
          <w:lang w:eastAsia="hu-HU"/>
        </w:rPr>
      </w:pPr>
      <w:r w:rsidRPr="00D706D9">
        <w:rPr>
          <w:rFonts w:ascii="Times New Roman" w:eastAsia="Times New Roman" w:hAnsi="Times New Roman" w:cs="Times New Roman"/>
          <w:b/>
          <w:bCs/>
          <w:color w:val="262626"/>
          <w:spacing w:val="-1"/>
          <w:kern w:val="36"/>
          <w:sz w:val="48"/>
          <w:szCs w:val="48"/>
          <w:lang w:eastAsia="hu-HU"/>
        </w:rPr>
        <w:t>Közfeladat</w:t>
      </w:r>
    </w:p>
    <w:p w14:paraId="58BB61A3" w14:textId="77777777" w:rsidR="00D706D9" w:rsidRPr="00D706D9" w:rsidRDefault="00D706D9" w:rsidP="00D706D9">
      <w:pPr>
        <w:shd w:val="clear" w:color="auto" w:fill="FFFFFF"/>
        <w:spacing w:beforeAutospacing="1" w:after="0" w:afterAutospacing="1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A </w:t>
      </w:r>
      <w:r w:rsidRPr="008D64D7">
        <w:rPr>
          <w:rFonts w:ascii="Arial" w:eastAsia="Times New Roman" w:hAnsi="Arial" w:cs="Arial"/>
          <w:i/>
          <w:iCs/>
          <w:color w:val="262626"/>
          <w:spacing w:val="-1"/>
          <w:sz w:val="27"/>
          <w:szCs w:val="27"/>
          <w:highlight w:val="yellow"/>
          <w:bdr w:val="none" w:sz="0" w:space="0" w:color="auto" w:frame="1"/>
          <w:lang w:eastAsia="hu-HU"/>
        </w:rPr>
        <w:t>közfeladat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 a szigorú törvényi definíció szerint olyan állami vagy önkormányzati feladat, amit valaki </w:t>
      </w:r>
      <w:r w:rsidRPr="00D706D9">
        <w:rPr>
          <w:rFonts w:ascii="Arial" w:eastAsia="Times New Roman" w:hAnsi="Arial" w:cs="Arial"/>
          <w:b/>
          <w:bCs/>
          <w:color w:val="262626"/>
          <w:spacing w:val="1"/>
          <w:sz w:val="27"/>
          <w:szCs w:val="27"/>
          <w:bdr w:val="none" w:sz="0" w:space="0" w:color="auto" w:frame="1"/>
          <w:lang w:eastAsia="hu-HU"/>
        </w:rPr>
        <w:t>közérdekből, haszonszerzési cél nélkül végez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, a jogszabályban leírt követelményeknek és feltételeknek megfelelve.</w:t>
      </w:r>
    </w:p>
    <w:p w14:paraId="279D84A8" w14:textId="77777777" w:rsidR="00D706D9" w:rsidRPr="00D706D9" w:rsidRDefault="00D706D9" w:rsidP="00D706D9">
      <w:pPr>
        <w:shd w:val="clear" w:color="auto" w:fill="FFFFFF"/>
        <w:spacing w:beforeAutospacing="1" w:after="0" w:afterAutospacing="1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A </w:t>
      </w:r>
      <w:r w:rsidRPr="00D706D9">
        <w:rPr>
          <w:rFonts w:ascii="Arial" w:eastAsia="Times New Roman" w:hAnsi="Arial" w:cs="Arial"/>
          <w:i/>
          <w:iCs/>
          <w:color w:val="262626"/>
          <w:spacing w:val="-1"/>
          <w:sz w:val="27"/>
          <w:szCs w:val="27"/>
          <w:bdr w:val="none" w:sz="0" w:space="0" w:color="auto" w:frame="1"/>
          <w:lang w:eastAsia="hu-HU"/>
        </w:rPr>
        <w:t>közfeladat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 tágabb értelemben minden olyan tevékenység, amit az állami szervek úgy végeznek, hogy az </w:t>
      </w:r>
      <w:r w:rsidRPr="00D706D9">
        <w:rPr>
          <w:rFonts w:ascii="Arial" w:eastAsia="Times New Roman" w:hAnsi="Arial" w:cs="Arial"/>
          <w:b/>
          <w:bCs/>
          <w:color w:val="262626"/>
          <w:spacing w:val="1"/>
          <w:sz w:val="27"/>
          <w:szCs w:val="27"/>
          <w:bdr w:val="none" w:sz="0" w:space="0" w:color="auto" w:frame="1"/>
          <w:lang w:eastAsia="hu-HU"/>
        </w:rPr>
        <w:t>a társadalom tagjaira hatással van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. Ezek tehát olyan feladatok és szolgáltatások, amelyek a </w:t>
      </w:r>
      <w:r w:rsidRPr="00D706D9">
        <w:rPr>
          <w:rFonts w:ascii="Arial" w:eastAsia="Times New Roman" w:hAnsi="Arial" w:cs="Arial"/>
          <w:b/>
          <w:bCs/>
          <w:color w:val="262626"/>
          <w:spacing w:val="1"/>
          <w:sz w:val="27"/>
          <w:szCs w:val="27"/>
          <w:bdr w:val="none" w:sz="0" w:space="0" w:color="auto" w:frame="1"/>
          <w:lang w:eastAsia="hu-HU"/>
        </w:rPr>
        <w:t>közérdeket szolgálják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, és megvalósításuk </w:t>
      </w:r>
      <w:r w:rsidRPr="00D706D9">
        <w:rPr>
          <w:rFonts w:ascii="Arial" w:eastAsia="Times New Roman" w:hAnsi="Arial" w:cs="Arial"/>
          <w:b/>
          <w:bCs/>
          <w:color w:val="262626"/>
          <w:spacing w:val="1"/>
          <w:sz w:val="27"/>
          <w:szCs w:val="27"/>
          <w:bdr w:val="none" w:sz="0" w:space="0" w:color="auto" w:frame="1"/>
          <w:lang w:eastAsia="hu-HU"/>
        </w:rPr>
        <w:t>csak társadalmi összefogással lehetséges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. Közfeladatot ellátó szervezetek például a kórházak, a földhivatalok, az iskolák, a fogyasztóvédelmi szervezet stb.</w:t>
      </w:r>
    </w:p>
    <w:p w14:paraId="243FADA0" w14:textId="77777777" w:rsidR="00D706D9" w:rsidRPr="00D706D9" w:rsidRDefault="00D706D9" w:rsidP="00D706D9">
      <w:pPr>
        <w:shd w:val="clear" w:color="auto" w:fill="FFFFFF"/>
        <w:spacing w:beforeAutospacing="1" w:after="0" w:afterAutospacing="1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A fentieken kívül olyan </w:t>
      </w:r>
      <w:r w:rsidRPr="008D64D7">
        <w:rPr>
          <w:rFonts w:ascii="Arial" w:eastAsia="Times New Roman" w:hAnsi="Arial" w:cs="Arial"/>
          <w:b/>
          <w:bCs/>
          <w:color w:val="262626"/>
          <w:spacing w:val="1"/>
          <w:sz w:val="27"/>
          <w:szCs w:val="27"/>
          <w:highlight w:val="yellow"/>
          <w:bdr w:val="none" w:sz="0" w:space="0" w:color="auto" w:frame="1"/>
          <w:lang w:eastAsia="hu-HU"/>
        </w:rPr>
        <w:t>önkormányzati ügyek</w:t>
      </w:r>
      <w:r w:rsidRPr="008D64D7">
        <w:rPr>
          <w:rFonts w:ascii="Arial" w:eastAsia="Times New Roman" w:hAnsi="Arial" w:cs="Arial"/>
          <w:color w:val="262626"/>
          <w:spacing w:val="-1"/>
          <w:sz w:val="27"/>
          <w:szCs w:val="27"/>
          <w:highlight w:val="yellow"/>
          <w:lang w:eastAsia="hu-HU"/>
        </w:rPr>
        <w:t> is közfeladatnak számítanak, mint például a településüzemeltetés (pl. </w:t>
      </w:r>
      <w:r w:rsidRPr="008D64D7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 xml:space="preserve">közvilágítás, </w:t>
      </w:r>
      <w:r w:rsidRPr="008D64D7">
        <w:rPr>
          <w:rFonts w:ascii="Arial" w:eastAsia="Times New Roman" w:hAnsi="Arial" w:cs="Arial"/>
          <w:color w:val="262626"/>
          <w:spacing w:val="-1"/>
          <w:sz w:val="27"/>
          <w:szCs w:val="27"/>
          <w:highlight w:val="yellow"/>
          <w:lang w:eastAsia="hu-HU"/>
        </w:rPr>
        <w:t>útfenntartás,</w:t>
      </w:r>
      <w:r w:rsidRPr="008D64D7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 xml:space="preserve"> helyi tömegközlekedés</w:t>
      </w:r>
      <w:r w:rsidRPr="008D64D7">
        <w:rPr>
          <w:rFonts w:ascii="Arial" w:eastAsia="Times New Roman" w:hAnsi="Arial" w:cs="Arial"/>
          <w:color w:val="262626"/>
          <w:spacing w:val="-1"/>
          <w:sz w:val="27"/>
          <w:szCs w:val="27"/>
          <w:highlight w:val="yellow"/>
          <w:lang w:eastAsia="hu-HU"/>
        </w:rPr>
        <w:t>, parkolás), a köztisztaság fenntartása (pl. úttakarítás, szemételszállítás, rovarirtás)</w:t>
      </w: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, a kulturális szolgáltatások (pl. könyvtár) stb.</w:t>
      </w:r>
    </w:p>
    <w:p w14:paraId="39F49104" w14:textId="77777777" w:rsidR="00D706D9" w:rsidRPr="00D706D9" w:rsidRDefault="00D706D9" w:rsidP="00D706D9">
      <w:pPr>
        <w:shd w:val="clear" w:color="auto" w:fill="FFFFFF"/>
        <w:spacing w:before="100" w:beforeAutospacing="1" w:after="100" w:afterAutospacing="1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r w:rsidRPr="00D706D9"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  <w:t>Bővebben:</w:t>
      </w:r>
    </w:p>
    <w:p w14:paraId="766C21A3" w14:textId="77777777" w:rsidR="00D706D9" w:rsidRPr="00D706D9" w:rsidRDefault="00E066DA" w:rsidP="00D706D9">
      <w:pPr>
        <w:numPr>
          <w:ilvl w:val="0"/>
          <w:numId w:val="2"/>
        </w:numPr>
        <w:spacing w:after="0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hyperlink r:id="rId5" w:tgtFrame="blank" w:history="1">
        <w:r w:rsidR="00D706D9" w:rsidRPr="00D706D9">
          <w:rPr>
            <w:rFonts w:ascii="Arial" w:eastAsia="Times New Roman" w:hAnsi="Arial" w:cs="Arial"/>
            <w:color w:val="0099CC"/>
            <w:spacing w:val="-1"/>
            <w:sz w:val="27"/>
            <w:szCs w:val="27"/>
            <w:u w:val="single"/>
            <w:bdr w:val="none" w:sz="0" w:space="0" w:color="auto" w:frame="1"/>
            <w:lang w:eastAsia="hu-HU"/>
          </w:rPr>
          <w:t>Büntető Törvénykönyv 459. § 12. pont (Jogtár)</w:t>
        </w:r>
      </w:hyperlink>
    </w:p>
    <w:p w14:paraId="2D536C97" w14:textId="77777777" w:rsidR="00D706D9" w:rsidRPr="00D706D9" w:rsidRDefault="00E066DA" w:rsidP="00D706D9">
      <w:pPr>
        <w:numPr>
          <w:ilvl w:val="0"/>
          <w:numId w:val="2"/>
        </w:numPr>
        <w:spacing w:after="0" w:line="392" w:lineRule="atLeast"/>
        <w:textAlignment w:val="baseline"/>
        <w:rPr>
          <w:rFonts w:ascii="Arial" w:eastAsia="Times New Roman" w:hAnsi="Arial" w:cs="Arial"/>
          <w:color w:val="262626"/>
          <w:spacing w:val="-1"/>
          <w:sz w:val="27"/>
          <w:szCs w:val="27"/>
          <w:lang w:eastAsia="hu-HU"/>
        </w:rPr>
      </w:pPr>
      <w:hyperlink r:id="rId6" w:tgtFrame="blank" w:history="1">
        <w:r w:rsidR="00D706D9" w:rsidRPr="00D706D9">
          <w:rPr>
            <w:rFonts w:ascii="Arial" w:eastAsia="Times New Roman" w:hAnsi="Arial" w:cs="Arial"/>
            <w:color w:val="0099CC"/>
            <w:spacing w:val="-1"/>
            <w:sz w:val="27"/>
            <w:szCs w:val="27"/>
            <w:u w:val="single"/>
            <w:bdr w:val="none" w:sz="0" w:space="0" w:color="auto" w:frame="1"/>
            <w:lang w:eastAsia="hu-HU"/>
          </w:rPr>
          <w:t>2011. évi CLXXXIX. törvény 13. § (Jogtár)</w:t>
        </w:r>
      </w:hyperlink>
    </w:p>
    <w:p w14:paraId="06F45556" w14:textId="03856344" w:rsidR="0059091C" w:rsidRDefault="0059091C"/>
    <w:p w14:paraId="246E3F13" w14:textId="00C3D125" w:rsidR="00D706D9" w:rsidRPr="008D64D7" w:rsidRDefault="00D706D9" w:rsidP="00D706D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</w:t>
      </w:r>
      <w:r w:rsidRPr="00D706D9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3. § 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7" w:anchor="lbj3id31c7" w:history="1">
        <w:r w:rsidRPr="00D706D9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A helyi közügyek, valamint a helyben biztosítható közfeladatok körében ellátandó helyi önkormányzati feladatok különösen:</w:t>
      </w:r>
    </w:p>
    <w:p w14:paraId="34767DEA" w14:textId="77777777" w:rsidR="00D706D9" w:rsidRPr="00D706D9" w:rsidRDefault="00D706D9" w:rsidP="00D706D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1. településfejlesztés, településrendezés;</w:t>
      </w:r>
    </w:p>
    <w:p w14:paraId="40C954D2" w14:textId="77777777" w:rsidR="00D706D9" w:rsidRPr="00D706D9" w:rsidRDefault="00D706D9" w:rsidP="00D706D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2. településüzemeltetés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(köztemetők kialakítása és fenntartása, a közvilágításról való gondoskodás, kéményseprő-ipari szolgáltatás biztosítása, </w:t>
      </w: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a helyi közutak és tartozékainak kialakítása és fenntartása,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közparkok és </w:t>
      </w: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egyéb közterületek kialakítása és fenntartása, gépjárművek parkolásának biztosítása);</w:t>
      </w:r>
    </w:p>
    <w:p w14:paraId="35960303" w14:textId="77777777" w:rsidR="00D706D9" w:rsidRPr="00D706D9" w:rsidRDefault="00D706D9" w:rsidP="00D706D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9. lakás- és helyiséggazdálkodás;</w:t>
      </w:r>
    </w:p>
    <w:p w14:paraId="7D64D31E" w14:textId="77777777" w:rsidR="00D706D9" w:rsidRPr="00D706D9" w:rsidRDefault="00D706D9" w:rsidP="00D706D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13. helyi adóval, </w:t>
      </w: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gazdaságszervezéssel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és a turizmussal </w:t>
      </w: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kapcsolatos feladatok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;</w:t>
      </w:r>
    </w:p>
    <w:p w14:paraId="2F3DCBBF" w14:textId="3647D2B9" w:rsidR="00D706D9" w:rsidRDefault="00D706D9" w:rsidP="00E066DA">
      <w:pPr>
        <w:shd w:val="clear" w:color="auto" w:fill="FFFFFF"/>
        <w:spacing w:after="0" w:line="405" w:lineRule="atLeast"/>
        <w:ind w:firstLine="240"/>
        <w:jc w:val="both"/>
      </w:pPr>
      <w:r w:rsidRPr="008D64D7">
        <w:rPr>
          <w:rFonts w:ascii="Arial" w:eastAsia="Times New Roman" w:hAnsi="Arial" w:cs="Arial"/>
          <w:color w:val="474747"/>
          <w:sz w:val="27"/>
          <w:szCs w:val="27"/>
          <w:highlight w:val="yellow"/>
          <w:lang w:eastAsia="hu-HU"/>
        </w:rPr>
        <w:t>19. hulladékgazdálkodás</w:t>
      </w:r>
      <w:r w:rsidRPr="00D706D9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;</w:t>
      </w:r>
      <w:r w:rsidR="00E066D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</w:t>
      </w:r>
    </w:p>
    <w:sectPr w:rsidR="00D7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70D"/>
    <w:multiLevelType w:val="multilevel"/>
    <w:tmpl w:val="24C8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46012"/>
    <w:multiLevelType w:val="multilevel"/>
    <w:tmpl w:val="CB6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D9"/>
    <w:rsid w:val="0059091C"/>
    <w:rsid w:val="008D64D7"/>
    <w:rsid w:val="00D706D9"/>
    <w:rsid w:val="00E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31A0"/>
  <w15:chartTrackingRefBased/>
  <w15:docId w15:val="{2687CAE4-E9DE-450E-BA5F-E376645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7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06D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706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706D9"/>
    <w:rPr>
      <w:i/>
      <w:iCs/>
    </w:rPr>
  </w:style>
  <w:style w:type="character" w:styleId="Kiemels2">
    <w:name w:val="Strong"/>
    <w:basedOn w:val="Bekezdsalapbettpusa"/>
    <w:uiPriority w:val="22"/>
    <w:qFormat/>
    <w:rsid w:val="00D7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89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189.tv" TargetMode="External"/><Relationship Id="rId5" Type="http://schemas.openxmlformats.org/officeDocument/2006/relationships/hyperlink" Target="https://net.jogtar.hu/jogszabaly?docid=a1200100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Krizmanits Márton</dc:creator>
  <cp:keywords/>
  <dc:description/>
  <cp:lastModifiedBy>Krizmanits Márton</cp:lastModifiedBy>
  <cp:revision>2</cp:revision>
  <dcterms:created xsi:type="dcterms:W3CDTF">2021-07-14T13:22:00Z</dcterms:created>
  <dcterms:modified xsi:type="dcterms:W3CDTF">2021-07-15T06:02:00Z</dcterms:modified>
</cp:coreProperties>
</file>